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BDAAC" w14:textId="334A96BA" w:rsidR="001C31BB" w:rsidRDefault="00FB490A" w:rsidP="0078333F">
      <w:pPr>
        <w:rPr>
          <w:b/>
          <w:bCs/>
        </w:rPr>
      </w:pPr>
      <w:r w:rsidRPr="00FB490A">
        <w:rPr>
          <w:b/>
          <w:bCs/>
        </w:rPr>
        <w:t>[11:00</w:t>
      </w:r>
      <w:r w:rsidR="00141C50">
        <w:rPr>
          <w:b/>
          <w:bCs/>
        </w:rPr>
        <w:t>am</w:t>
      </w:r>
      <w:r w:rsidRPr="00FB490A">
        <w:rPr>
          <w:b/>
          <w:bCs/>
        </w:rPr>
        <w:t>-</w:t>
      </w:r>
      <w:r w:rsidR="00141C50">
        <w:rPr>
          <w:b/>
          <w:bCs/>
        </w:rPr>
        <w:t>11:</w:t>
      </w:r>
      <w:r w:rsidR="006B4815">
        <w:rPr>
          <w:b/>
          <w:bCs/>
        </w:rPr>
        <w:t>4</w:t>
      </w:r>
      <w:r w:rsidR="00141C50">
        <w:rPr>
          <w:b/>
          <w:bCs/>
        </w:rPr>
        <w:t>0am</w:t>
      </w:r>
      <w:r w:rsidRPr="00FB490A">
        <w:rPr>
          <w:b/>
          <w:bCs/>
        </w:rPr>
        <w:t>]</w:t>
      </w:r>
      <w:r w:rsidR="00D61EDA">
        <w:rPr>
          <w:b/>
          <w:bCs/>
        </w:rPr>
        <w:t xml:space="preserve"> </w:t>
      </w:r>
      <w:r w:rsidR="006B4815">
        <w:rPr>
          <w:b/>
          <w:bCs/>
        </w:rPr>
        <w:t>T</w:t>
      </w:r>
      <w:r w:rsidR="00036553">
        <w:rPr>
          <w:b/>
          <w:bCs/>
        </w:rPr>
        <w:t>ime-frequency analysis</w:t>
      </w:r>
      <w:r w:rsidR="006B4815">
        <w:rPr>
          <w:b/>
          <w:bCs/>
        </w:rPr>
        <w:t xml:space="preserve"> and the magnitude spectrogram</w:t>
      </w:r>
    </w:p>
    <w:p w14:paraId="22817913" w14:textId="77777777" w:rsidR="00A567B3" w:rsidRDefault="00036553" w:rsidP="0078333F">
      <w:r>
        <w:t xml:space="preserve">Fourier analysis allows us to see what frequencies occur on </w:t>
      </w:r>
      <w:proofErr w:type="gramStart"/>
      <w:r>
        <w:t>average, but</w:t>
      </w:r>
      <w:proofErr w:type="gramEnd"/>
      <w:r>
        <w:t xml:space="preserve"> does not allow us to localize frequencies in time. A joint time-frequency analysis allows localization in both dimensions.</w:t>
      </w:r>
    </w:p>
    <w:p w14:paraId="12981C73" w14:textId="76D602E1" w:rsidR="00141C50" w:rsidRDefault="00036553" w:rsidP="0078333F">
      <w:r>
        <w:t xml:space="preserve">A magnitude spectrogram is a common visualization that shows the amount of signal power as a function of both time and frequency. </w:t>
      </w:r>
    </w:p>
    <w:p w14:paraId="4E9BDF1F" w14:textId="4EDCBA6C" w:rsidR="00A567B3" w:rsidRDefault="00A567B3" w:rsidP="0078333F">
      <w:r>
        <w:t xml:space="preserve">When constructing a magnitude spectrogram, the symmetry of the Fourier series coefficients makes the negative frequencies visually redundant, and it’s common to leave them out of </w:t>
      </w:r>
      <w:proofErr w:type="gramStart"/>
      <w:r>
        <w:t>the visualization</w:t>
      </w:r>
      <w:proofErr w:type="gramEnd"/>
      <w:r>
        <w:t>.</w:t>
      </w:r>
    </w:p>
    <w:p w14:paraId="44AA172F" w14:textId="24B27640" w:rsidR="00141C50" w:rsidRDefault="00141C50" w:rsidP="0078333F">
      <w:r>
        <w:t xml:space="preserve">When a signal is sampled at a rate </w:t>
      </w:r>
      <m:oMath>
        <m:sSub>
          <m:sSubPr>
            <m:ctrlPr>
              <w:rPr>
                <w:rFonts w:ascii="Cambria Math" w:hAnsi="Cambria Math"/>
                <w:i/>
              </w:rPr>
            </m:ctrlPr>
          </m:sSubPr>
          <m:e>
            <m:r>
              <w:rPr>
                <w:rFonts w:ascii="Cambria Math" w:hAnsi="Cambria Math"/>
              </w:rPr>
              <m:t>f</m:t>
            </m:r>
          </m:e>
          <m:sub>
            <m:r>
              <w:rPr>
                <w:rFonts w:ascii="Cambria Math" w:hAnsi="Cambria Math"/>
              </w:rPr>
              <m:t>s</m:t>
            </m:r>
          </m:sub>
        </m:sSub>
      </m:oMath>
      <w:r>
        <w:t xml:space="preserve">, we can only represent frequencies up to </w:t>
      </w:r>
      <m:oMath>
        <m:sSub>
          <m:sSubPr>
            <m:ctrlPr>
              <w:rPr>
                <w:rFonts w:ascii="Cambria Math" w:hAnsi="Cambria Math"/>
                <w:i/>
              </w:rPr>
            </m:ctrlPr>
          </m:sSubPr>
          <m:e>
            <m:r>
              <w:rPr>
                <w:rFonts w:ascii="Cambria Math" w:hAnsi="Cambria Math"/>
              </w:rPr>
              <m:t>f</m:t>
            </m:r>
          </m:e>
          <m:sub>
            <m:r>
              <w:rPr>
                <w:rFonts w:ascii="Cambria Math" w:hAnsi="Cambria Math"/>
              </w:rPr>
              <m:t>s</m:t>
            </m:r>
          </m:sub>
        </m:sSub>
        <m:r>
          <w:rPr>
            <w:rFonts w:ascii="Cambria Math" w:hAnsi="Cambria Math"/>
          </w:rPr>
          <m:t>/2</m:t>
        </m:r>
      </m:oMath>
      <w:r>
        <w:rPr>
          <w:rFonts w:eastAsiaTheme="minorEastAsia"/>
        </w:rPr>
        <w:t xml:space="preserve">. </w:t>
      </w:r>
      <w:r>
        <w:t xml:space="preserve">The discrete-time Fourier series only has a finite number of harmonic frequencies (up to </w:t>
      </w:r>
      <m:oMath>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f</m:t>
            </m:r>
          </m:e>
          <m:sub>
            <m:r>
              <w:rPr>
                <w:rFonts w:ascii="Cambria Math" w:hAnsi="Cambria Math"/>
              </w:rPr>
              <m:t>s</m:t>
            </m:r>
          </m:sub>
        </m:sSub>
      </m:oMath>
      <w:r>
        <w:rPr>
          <w:rFonts w:eastAsiaTheme="minorEastAsia"/>
        </w:rPr>
        <w:t xml:space="preserve"> and down to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s</m:t>
            </m:r>
          </m:sub>
        </m:sSub>
      </m:oMath>
      <w:r>
        <w:rPr>
          <w:rFonts w:eastAsiaTheme="minorEastAsia"/>
        </w:rPr>
        <w:t>) and hence we have a finite number of Fourier series coefficients.</w:t>
      </w:r>
    </w:p>
    <w:p w14:paraId="7DD3547E" w14:textId="0105A262" w:rsidR="00141C50" w:rsidRDefault="00141C50" w:rsidP="0078333F">
      <w:r>
        <w:t xml:space="preserve">The short-time Fourier transform (STFT) is an intermediate step in constructing the magnitude </w:t>
      </w:r>
      <w:proofErr w:type="gramStart"/>
      <w:r>
        <w:t>spectrogram, but</w:t>
      </w:r>
      <w:proofErr w:type="gramEnd"/>
      <w:r>
        <w:t xml:space="preserve"> includes the magnitude as well as the phase. T</w:t>
      </w:r>
      <w:r w:rsidRPr="00141C50">
        <w:t xml:space="preserve">he STFT includes a window function </w:t>
      </w:r>
      <m:oMath>
        <m:r>
          <w:rPr>
            <w:rFonts w:ascii="Cambria Math" w:hAnsi="Cambria Math"/>
          </w:rPr>
          <m:t>w</m:t>
        </m:r>
        <m:d>
          <m:dPr>
            <m:begChr m:val="["/>
            <m:endChr m:val="]"/>
            <m:ctrlPr>
              <w:rPr>
                <w:rFonts w:ascii="Cambria Math" w:hAnsi="Cambria Math"/>
                <w:i/>
              </w:rPr>
            </m:ctrlPr>
          </m:dPr>
          <m:e>
            <m:r>
              <w:rPr>
                <w:rFonts w:ascii="Cambria Math" w:hAnsi="Cambria Math"/>
              </w:rPr>
              <m:t>n-m</m:t>
            </m:r>
          </m:e>
        </m:d>
      </m:oMath>
      <w:r w:rsidRPr="00141C50">
        <w:t xml:space="preserve"> that isolates the part of the signal centered around </w:t>
      </w:r>
      <m:oMath>
        <m:r>
          <w:rPr>
            <w:rFonts w:ascii="Cambria Math" w:hAnsi="Cambria Math"/>
          </w:rPr>
          <m:t>m</m:t>
        </m:r>
      </m:oMath>
    </w:p>
    <w:p w14:paraId="630A0B94" w14:textId="557EC8FF" w:rsidR="00141C50" w:rsidRPr="00141C50" w:rsidRDefault="00141C50" w:rsidP="0078333F">
      <w:pPr>
        <w:rPr>
          <w:rFonts w:eastAsiaTheme="minorEastAsia"/>
        </w:rPr>
      </w:pPr>
      <m:oMathPara>
        <m:oMath>
          <m:r>
            <m:rPr>
              <m:sty m:val="b"/>
            </m:rPr>
            <w:rPr>
              <w:rFonts w:ascii="Cambria Math" w:hAnsi="Cambria Math"/>
            </w:rPr>
            <m:t>STFT</m:t>
          </m:r>
          <m:d>
            <m:dPr>
              <m:begChr m:val="{"/>
              <m:endChr m:val="}"/>
              <m:ctrlPr>
                <w:rPr>
                  <w:rFonts w:ascii="Cambria Math" w:hAnsi="Cambria Math"/>
                  <w:i/>
                </w:rPr>
              </m:ctrlPr>
            </m:dPr>
            <m:e>
              <m:r>
                <w:rPr>
                  <w:rFonts w:ascii="Cambria Math" w:hAnsi="Cambria Math"/>
                </w:rPr>
                <m:t>x</m:t>
              </m:r>
              <m:d>
                <m:dPr>
                  <m:begChr m:val="["/>
                  <m:endChr m:val="]"/>
                  <m:ctrlPr>
                    <w:rPr>
                      <w:rFonts w:ascii="Cambria Math" w:hAnsi="Cambria Math"/>
                      <w:i/>
                    </w:rPr>
                  </m:ctrlPr>
                </m:dPr>
                <m:e>
                  <m:r>
                    <w:rPr>
                      <w:rFonts w:ascii="Cambria Math" w:hAnsi="Cambria Math"/>
                    </w:rPr>
                    <m:t>n</m:t>
                  </m:r>
                </m:e>
              </m:d>
            </m:e>
          </m:d>
          <m:d>
            <m:dPr>
              <m:begChr m:val="["/>
              <m:endChr m:val="]"/>
              <m:ctrlPr>
                <w:rPr>
                  <w:rFonts w:ascii="Cambria Math" w:hAnsi="Cambria Math"/>
                  <w:i/>
                </w:rPr>
              </m:ctrlPr>
            </m:dPr>
            <m:e>
              <m:r>
                <w:rPr>
                  <w:rFonts w:ascii="Cambria Math" w:hAnsi="Cambria Math"/>
                </w:rPr>
                <m:t>m,k</m:t>
              </m:r>
            </m:e>
          </m:d>
          <m:r>
            <w:rPr>
              <w:rFonts w:ascii="Cambria Math" w:hAnsi="Cambria Math"/>
            </w:rPr>
            <m:t>=</m:t>
          </m:r>
          <m:nary>
            <m:naryPr>
              <m:chr m:val="∑"/>
              <m:ctrlPr>
                <w:rPr>
                  <w:rFonts w:ascii="Cambria Math" w:hAnsi="Cambria Math"/>
                  <w:i/>
                </w:rPr>
              </m:ctrlPr>
            </m:naryPr>
            <m:sub>
              <m:r>
                <w:rPr>
                  <w:rFonts w:ascii="Cambria Math" w:hAnsi="Cambria Math"/>
                </w:rPr>
                <m:t>n=0</m:t>
              </m:r>
            </m:sub>
            <m:sup>
              <m:r>
                <w:rPr>
                  <w:rFonts w:ascii="Cambria Math" w:hAnsi="Cambria Math"/>
                </w:rPr>
                <m:t>N-1</m:t>
              </m:r>
            </m:sup>
            <m:e>
              <m:r>
                <w:rPr>
                  <w:rFonts w:ascii="Cambria Math" w:hAnsi="Cambria Math"/>
                </w:rPr>
                <m:t>x</m:t>
              </m:r>
              <m:d>
                <m:dPr>
                  <m:begChr m:val="["/>
                  <m:endChr m:val="]"/>
                  <m:ctrlPr>
                    <w:rPr>
                      <w:rFonts w:ascii="Cambria Math" w:hAnsi="Cambria Math"/>
                      <w:i/>
                    </w:rPr>
                  </m:ctrlPr>
                </m:dPr>
                <m:e>
                  <m:r>
                    <w:rPr>
                      <w:rFonts w:ascii="Cambria Math" w:hAnsi="Cambria Math"/>
                    </w:rPr>
                    <m:t>n</m:t>
                  </m:r>
                </m:e>
              </m:d>
              <m:r>
                <w:rPr>
                  <w:rFonts w:ascii="Cambria Math" w:hAnsi="Cambria Math"/>
                </w:rPr>
                <m:t>w</m:t>
              </m:r>
              <m:d>
                <m:dPr>
                  <m:begChr m:val="["/>
                  <m:endChr m:val="]"/>
                  <m:ctrlPr>
                    <w:rPr>
                      <w:rFonts w:ascii="Cambria Math" w:hAnsi="Cambria Math"/>
                      <w:i/>
                    </w:rPr>
                  </m:ctrlPr>
                </m:dPr>
                <m:e>
                  <m:r>
                    <w:rPr>
                      <w:rFonts w:ascii="Cambria Math" w:hAnsi="Cambria Math"/>
                    </w:rPr>
                    <m:t>n-m</m:t>
                  </m:r>
                </m:e>
              </m:d>
              <m:sSup>
                <m:sSupPr>
                  <m:ctrlPr>
                    <w:rPr>
                      <w:rFonts w:ascii="Cambria Math" w:hAnsi="Cambria Math"/>
                      <w:i/>
                    </w:rPr>
                  </m:ctrlPr>
                </m:sSupPr>
                <m:e>
                  <m:r>
                    <w:rPr>
                      <w:rFonts w:ascii="Cambria Math" w:hAnsi="Cambria Math"/>
                    </w:rPr>
                    <m:t>e</m:t>
                  </m:r>
                </m:e>
                <m:sup>
                  <m:r>
                    <w:rPr>
                      <w:rFonts w:ascii="Cambria Math" w:hAnsi="Cambria Math"/>
                    </w:rPr>
                    <m:t>-j2π</m:t>
                  </m:r>
                  <m:f>
                    <m:fPr>
                      <m:ctrlPr>
                        <w:rPr>
                          <w:rFonts w:ascii="Cambria Math" w:hAnsi="Cambria Math"/>
                          <w:i/>
                        </w:rPr>
                      </m:ctrlPr>
                    </m:fPr>
                    <m:num>
                      <m:r>
                        <w:rPr>
                          <w:rFonts w:ascii="Cambria Math" w:hAnsi="Cambria Math"/>
                        </w:rPr>
                        <m:t>k</m:t>
                      </m:r>
                    </m:num>
                    <m:den>
                      <m:r>
                        <w:rPr>
                          <w:rFonts w:ascii="Cambria Math" w:hAnsi="Cambria Math"/>
                        </w:rPr>
                        <m:t>N</m:t>
                      </m:r>
                    </m:den>
                  </m:f>
                  <m:r>
                    <w:rPr>
                      <w:rFonts w:ascii="Cambria Math" w:hAnsi="Cambria Math"/>
                    </w:rPr>
                    <m:t>n</m:t>
                  </m:r>
                </m:sup>
              </m:sSup>
            </m:e>
          </m:nary>
        </m:oMath>
      </m:oMathPara>
    </w:p>
    <w:p w14:paraId="3203A845" w14:textId="1C46B9AA" w:rsidR="00141C50" w:rsidRDefault="00141C50" w:rsidP="0078333F">
      <w:pPr>
        <w:rPr>
          <w:rFonts w:eastAsiaTheme="minorEastAsia"/>
        </w:rPr>
      </w:pPr>
      <w:r>
        <w:t>There is a fundamental trade-off between the time and frequency resolution, since a signal cannot be finite in both time and frequency.</w:t>
      </w:r>
      <w:r w:rsidR="006B4815">
        <w:t xml:space="preserve"> Larger values of the window length </w:t>
      </w:r>
      <m:oMath>
        <m:r>
          <w:rPr>
            <w:rFonts w:ascii="Cambria Math" w:hAnsi="Cambria Math"/>
          </w:rPr>
          <m:t>N</m:t>
        </m:r>
      </m:oMath>
      <w:r w:rsidR="006B4815">
        <w:rPr>
          <w:rFonts w:eastAsiaTheme="minorEastAsia"/>
        </w:rPr>
        <w:t xml:space="preserve"> will increase the frequency resolution at the cost of lower time resolution.</w:t>
      </w:r>
    </w:p>
    <w:p w14:paraId="13934B69" w14:textId="1DDB2C9D" w:rsidR="006B4815" w:rsidRDefault="006B4815" w:rsidP="0078333F">
      <w:r>
        <w:t>We can only compute the Fourier series for periodic signals. If we perform Fourier series analysis of a finite length signal, the result is equivalent to periodically extending it. The periodic extension can result in high frequency artifacts whenever the first sample differs from the last sample. Using a tapered window forces the first and last samples to be equal to zero, reducing the discontinuity in the periodic extension.</w:t>
      </w:r>
    </w:p>
    <w:p w14:paraId="60B65A58" w14:textId="149A6101" w:rsidR="00141C50" w:rsidRDefault="00141C50" w:rsidP="0078333F">
      <w:r w:rsidRPr="001C31BB">
        <w:rPr>
          <w:rFonts w:eastAsiaTheme="minorEastAsia"/>
          <w:noProof/>
        </w:rPr>
        <w:drawing>
          <wp:anchor distT="0" distB="0" distL="114300" distR="114300" simplePos="0" relativeHeight="251660288" behindDoc="0" locked="0" layoutInCell="1" allowOverlap="1" wp14:anchorId="35D6591B" wp14:editId="7951CF16">
            <wp:simplePos x="0" y="0"/>
            <wp:positionH relativeFrom="column">
              <wp:posOffset>-583206</wp:posOffset>
            </wp:positionH>
            <wp:positionV relativeFrom="paragraph">
              <wp:posOffset>250355</wp:posOffset>
            </wp:positionV>
            <wp:extent cx="4170680" cy="1379220"/>
            <wp:effectExtent l="0" t="0" r="1270" b="0"/>
            <wp:wrapNone/>
            <wp:docPr id="1633273498"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73498" name="Picture 1" descr="A screen shot of a computer&#10;&#10;AI-generated content may be incorrect."/>
                    <pic:cNvPicPr/>
                  </pic:nvPicPr>
                  <pic:blipFill rotWithShape="1">
                    <a:blip r:embed="rId10" cstate="print">
                      <a:extLst>
                        <a:ext uri="{28A0092B-C50C-407E-A947-70E740481C1C}">
                          <a14:useLocalDpi xmlns:a14="http://schemas.microsoft.com/office/drawing/2010/main" val="0"/>
                        </a:ext>
                      </a:extLst>
                    </a:blip>
                    <a:srcRect l="3948"/>
                    <a:stretch>
                      <a:fillRect/>
                    </a:stretch>
                  </pic:blipFill>
                  <pic:spPr bwMode="auto">
                    <a:xfrm>
                      <a:off x="0" y="0"/>
                      <a:ext cx="4170680" cy="1379220"/>
                    </a:xfrm>
                    <a:prstGeom prst="rect">
                      <a:avLst/>
                    </a:prstGeom>
                    <a:ln>
                      <a:noFill/>
                    </a:ln>
                    <a:extLst>
                      <a:ext uri="{53640926-AAD7-44D8-BBD7-CCE9431645EC}">
                        <a14:shadowObscured xmlns:a14="http://schemas.microsoft.com/office/drawing/2010/main"/>
                      </a:ext>
                    </a:extLst>
                  </pic:spPr>
                </pic:pic>
              </a:graphicData>
            </a:graphic>
          </wp:anchor>
        </w:drawing>
      </w:r>
      <w:r w:rsidRPr="001C31BB">
        <w:rPr>
          <w:rFonts w:eastAsiaTheme="minorEastAsia"/>
          <w:noProof/>
        </w:rPr>
        <w:drawing>
          <wp:anchor distT="0" distB="0" distL="114300" distR="114300" simplePos="0" relativeHeight="251659264" behindDoc="0" locked="0" layoutInCell="1" allowOverlap="1" wp14:anchorId="3064FFF8" wp14:editId="4049F678">
            <wp:simplePos x="0" y="0"/>
            <wp:positionH relativeFrom="column">
              <wp:posOffset>3802132</wp:posOffset>
            </wp:positionH>
            <wp:positionV relativeFrom="paragraph">
              <wp:posOffset>9000</wp:posOffset>
            </wp:positionV>
            <wp:extent cx="2395220" cy="1820545"/>
            <wp:effectExtent l="0" t="0" r="5080" b="8255"/>
            <wp:wrapNone/>
            <wp:docPr id="1732414339" name="Picture 11" descr="spectrogramScale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spectrogramScaleColor.png"/>
                    <pic:cNvPicPr>
                      <a:picLocks noChangeAspect="1"/>
                    </pic:cNvPicPr>
                  </pic:nvPicPr>
                  <pic:blipFill rotWithShape="1">
                    <a:blip r:embed="rId11">
                      <a:extLst>
                        <a:ext uri="{28A0092B-C50C-407E-A947-70E740481C1C}">
                          <a14:useLocalDpi xmlns:a14="http://schemas.microsoft.com/office/drawing/2010/main" val="0"/>
                        </a:ext>
                      </a:extLst>
                    </a:blip>
                    <a:srcRect l="4981" t="4516" r="5017" b="4260"/>
                    <a:stretch/>
                  </pic:blipFill>
                  <pic:spPr>
                    <a:xfrm>
                      <a:off x="0" y="0"/>
                      <a:ext cx="2395220" cy="1820545"/>
                    </a:xfrm>
                    <a:prstGeom prst="rect">
                      <a:avLst/>
                    </a:prstGeom>
                  </pic:spPr>
                </pic:pic>
              </a:graphicData>
            </a:graphic>
            <wp14:sizeRelH relativeFrom="margin">
              <wp14:pctWidth>0</wp14:pctWidth>
            </wp14:sizeRelH>
            <wp14:sizeRelV relativeFrom="margin">
              <wp14:pctHeight>0</wp14:pctHeight>
            </wp14:sizeRelV>
          </wp:anchor>
        </w:drawing>
      </w:r>
    </w:p>
    <w:p w14:paraId="1EFBD485" w14:textId="1F7690E0" w:rsidR="00036553" w:rsidRPr="00036553" w:rsidRDefault="00036553" w:rsidP="0078333F">
      <w:pPr>
        <w:rPr>
          <w:rFonts w:eastAsiaTheme="minorEastAsia"/>
        </w:rPr>
      </w:pPr>
    </w:p>
    <w:p w14:paraId="2A06D384" w14:textId="02FED8C1" w:rsidR="00141C50" w:rsidRDefault="00141C50">
      <w:pPr>
        <w:rPr>
          <w:rFonts w:eastAsiaTheme="minorEastAsia"/>
        </w:rPr>
      </w:pPr>
      <w:r>
        <w:rPr>
          <w:rFonts w:eastAsiaTheme="minorEastAsia"/>
        </w:rPr>
        <w:br w:type="page"/>
      </w:r>
    </w:p>
    <w:p w14:paraId="05CE0815" w14:textId="7A827D91" w:rsidR="001C31BB" w:rsidRPr="00141C50" w:rsidRDefault="00141C50" w:rsidP="00141C50">
      <w:pPr>
        <w:rPr>
          <w:rFonts w:eastAsiaTheme="minorEastAsia"/>
          <w:b/>
          <w:bCs/>
        </w:rPr>
      </w:pPr>
      <w:r w:rsidRPr="00141C50">
        <w:rPr>
          <w:rFonts w:eastAsiaTheme="minorEastAsia"/>
          <w:b/>
          <w:bCs/>
        </w:rPr>
        <w:lastRenderedPageBreak/>
        <w:t>[11:</w:t>
      </w:r>
      <w:r w:rsidR="006B4815">
        <w:rPr>
          <w:rFonts w:eastAsiaTheme="minorEastAsia"/>
          <w:b/>
          <w:bCs/>
        </w:rPr>
        <w:t>4</w:t>
      </w:r>
      <w:r w:rsidRPr="00141C50">
        <w:rPr>
          <w:rFonts w:eastAsiaTheme="minorEastAsia"/>
          <w:b/>
          <w:bCs/>
        </w:rPr>
        <w:t>0-</w:t>
      </w:r>
      <w:r w:rsidR="00612178">
        <w:rPr>
          <w:rFonts w:eastAsiaTheme="minorEastAsia"/>
          <w:b/>
          <w:bCs/>
        </w:rPr>
        <w:t>11:50</w:t>
      </w:r>
      <w:r w:rsidRPr="00141C50">
        <w:rPr>
          <w:rFonts w:eastAsiaTheme="minorEastAsia"/>
          <w:b/>
          <w:bCs/>
        </w:rPr>
        <w:t>]</w:t>
      </w:r>
      <w:r w:rsidR="006B4815">
        <w:rPr>
          <w:rFonts w:eastAsiaTheme="minorEastAsia"/>
          <w:b/>
          <w:bCs/>
        </w:rPr>
        <w:t xml:space="preserve"> Chirp signals</w:t>
      </w:r>
    </w:p>
    <w:p w14:paraId="6DE1F786" w14:textId="2D984F77" w:rsidR="00141C50" w:rsidRDefault="006B4815" w:rsidP="00141C50">
      <w:pPr>
        <w:rPr>
          <w:rFonts w:eastAsiaTheme="minorEastAsia"/>
        </w:rPr>
      </w:pPr>
      <w:r>
        <w:rPr>
          <w:rFonts w:eastAsiaTheme="minorEastAsia"/>
        </w:rPr>
        <w:t>A chirp signal is a sinusoid with increasing or decreasing frequency</w:t>
      </w:r>
    </w:p>
    <w:p w14:paraId="2F77B37C" w14:textId="2734E7FD" w:rsidR="006B4815" w:rsidRPr="006B4815" w:rsidRDefault="006B4815" w:rsidP="00141C50">
      <w:pPr>
        <w:rPr>
          <w:rFonts w:eastAsiaTheme="minorEastAsia"/>
        </w:rPr>
      </w:pPr>
      <m:oMathPara>
        <m:oMath>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=A</m:t>
          </m:r>
          <m:func>
            <m:funcPr>
              <m:ctrlPr>
                <w:rPr>
                  <w:rFonts w:ascii="Cambria Math" w:eastAsiaTheme="minorEastAsia" w:hAnsi="Cambria Math"/>
                  <w:i/>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ψ(t)</m:t>
                  </m:r>
                </m:e>
              </m:d>
            </m:e>
          </m:func>
          <m:r>
            <w:rPr>
              <w:rFonts w:ascii="Cambria Math" w:eastAsiaTheme="minorEastAsia" w:hAnsi="Cambria Math"/>
            </w:rPr>
            <m:t>,  ψ</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=2πμ</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r>
            <w:rPr>
              <w:rFonts w:ascii="Cambria Math" w:eastAsiaTheme="minorEastAsia" w:hAnsi="Cambria Math"/>
            </w:rPr>
            <m:t>+2π</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t</m:t>
          </m:r>
        </m:oMath>
      </m:oMathPara>
    </w:p>
    <w:p w14:paraId="3AA026ED" w14:textId="2395AAF7" w:rsidR="006B4815" w:rsidRPr="006B4815" w:rsidRDefault="006B4815" w:rsidP="00141C50">
      <w:pPr>
        <w:rPr>
          <w:rFonts w:eastAsiaTheme="minorEastAsia"/>
        </w:rPr>
      </w:pPr>
      <w:r>
        <w:rPr>
          <w:rFonts w:eastAsiaTheme="minorEastAsia"/>
        </w:rPr>
        <w:t xml:space="preserve">The instantaneous frequency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t>
            </m:r>
          </m:sub>
        </m:sSub>
        <m:d>
          <m:dPr>
            <m:ctrlPr>
              <w:rPr>
                <w:rFonts w:ascii="Cambria Math" w:eastAsiaTheme="minorEastAsia" w:hAnsi="Cambria Math"/>
                <w:i/>
              </w:rPr>
            </m:ctrlPr>
          </m:dPr>
          <m:e>
            <m:r>
              <w:rPr>
                <w:rFonts w:ascii="Cambria Math" w:eastAsiaTheme="minorEastAsia" w:hAnsi="Cambria Math"/>
              </w:rPr>
              <m:t>t</m:t>
            </m:r>
          </m:e>
        </m:d>
      </m:oMath>
      <w:r>
        <w:rPr>
          <w:rFonts w:eastAsiaTheme="minorEastAsia"/>
        </w:rPr>
        <w:t xml:space="preserve"> </w:t>
      </w:r>
      <w:r w:rsidR="00920949">
        <w:rPr>
          <w:rFonts w:eastAsiaTheme="minorEastAsia"/>
        </w:rPr>
        <w:t xml:space="preserve">in Hertz </w:t>
      </w:r>
      <w:r>
        <w:rPr>
          <w:rFonts w:eastAsiaTheme="minorEastAsia"/>
        </w:rPr>
        <w:t xml:space="preserve">is the scaled slope of the angle </w:t>
      </w:r>
      <m:oMath>
        <m:r>
          <w:rPr>
            <w:rFonts w:ascii="Cambria Math" w:eastAsiaTheme="minorEastAsia" w:hAnsi="Cambria Math"/>
          </w:rPr>
          <m:t>ψ</m:t>
        </m:r>
        <m:d>
          <m:dPr>
            <m:ctrlPr>
              <w:rPr>
                <w:rFonts w:ascii="Cambria Math" w:eastAsiaTheme="minorEastAsia" w:hAnsi="Cambria Math"/>
                <w:i/>
              </w:rPr>
            </m:ctrlPr>
          </m:dPr>
          <m:e>
            <m:r>
              <w:rPr>
                <w:rFonts w:ascii="Cambria Math" w:eastAsiaTheme="minorEastAsia" w:hAnsi="Cambria Math"/>
              </w:rPr>
              <m:t>t</m:t>
            </m:r>
          </m:e>
        </m:d>
      </m:oMath>
    </w:p>
    <w:p w14:paraId="643497EF" w14:textId="16EA862E" w:rsidR="006B4815" w:rsidRPr="00920949" w:rsidRDefault="00000000" w:rsidP="00141C50">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2π</m:t>
              </m:r>
            </m:den>
          </m:f>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dt</m:t>
              </m:r>
            </m:den>
          </m:f>
          <m:r>
            <w:rPr>
              <w:rFonts w:ascii="Cambria Math" w:eastAsiaTheme="minorEastAsia" w:hAnsi="Cambria Math"/>
            </w:rPr>
            <m:t>ψ</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=2μt+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 xml:space="preserve"> </m:t>
          </m:r>
        </m:oMath>
      </m:oMathPara>
    </w:p>
    <w:p w14:paraId="7EE4D2FB" w14:textId="60919CA9" w:rsidR="00920949" w:rsidRPr="00920949" w:rsidRDefault="00920949" w:rsidP="00141C50">
      <w:pPr>
        <w:rPr>
          <w:rFonts w:eastAsiaTheme="minorEastAsia"/>
        </w:rPr>
      </w:pPr>
      <w:r>
        <w:rPr>
          <w:rFonts w:eastAsiaTheme="minorEastAsia"/>
        </w:rPr>
        <w:t>Example: linear chirp from 261</w:t>
      </w:r>
      <w:proofErr w:type="gramStart"/>
      <w:r>
        <w:rPr>
          <w:rFonts w:eastAsiaTheme="minorEastAsia"/>
        </w:rPr>
        <w:t>Hz  to</w:t>
      </w:r>
      <w:proofErr w:type="gramEnd"/>
      <w:r>
        <w:rPr>
          <w:rFonts w:eastAsiaTheme="minorEastAsia"/>
        </w:rPr>
        <w:t xml:space="preserve"> 3951 Hz</w:t>
      </w:r>
    </w:p>
    <w:p w14:paraId="24A89D07" w14:textId="7E21D8A2" w:rsidR="00920949" w:rsidRPr="006B4815" w:rsidRDefault="00920949" w:rsidP="00920949">
      <w:pPr>
        <w:jc w:val="center"/>
        <w:rPr>
          <w:rFonts w:eastAsiaTheme="minorEastAsia"/>
        </w:rPr>
      </w:pPr>
      <w:r w:rsidRPr="00920949">
        <w:rPr>
          <w:rFonts w:eastAsiaTheme="minorEastAsia"/>
          <w:noProof/>
        </w:rPr>
        <w:drawing>
          <wp:inline distT="0" distB="0" distL="0" distR="0" wp14:anchorId="7380CC8A" wp14:editId="2F33B68E">
            <wp:extent cx="3364992" cy="2523744"/>
            <wp:effectExtent l="0" t="0" r="6985" b="0"/>
            <wp:docPr id="12" name="Picture 11" descr="chirpSpectr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chirpSpectrogram.png"/>
                    <pic:cNvPicPr>
                      <a:picLocks noChangeAspect="1"/>
                    </pic:cNvPicPr>
                  </pic:nvPicPr>
                  <pic:blipFill rotWithShape="1">
                    <a:blip r:embed="rId12">
                      <a:extLst>
                        <a:ext uri="{28A0092B-C50C-407E-A947-70E740481C1C}">
                          <a14:useLocalDpi xmlns:a14="http://schemas.microsoft.com/office/drawing/2010/main" val="0"/>
                        </a:ext>
                      </a:extLst>
                    </a:blip>
                    <a:srcRect l="4900" t="6395" r="4978" b="3484"/>
                    <a:stretch/>
                  </pic:blipFill>
                  <pic:spPr>
                    <a:xfrm>
                      <a:off x="0" y="0"/>
                      <a:ext cx="3364992" cy="2523744"/>
                    </a:xfrm>
                    <a:prstGeom prst="rect">
                      <a:avLst/>
                    </a:prstGeom>
                  </pic:spPr>
                </pic:pic>
              </a:graphicData>
            </a:graphic>
          </wp:inline>
        </w:drawing>
      </w:r>
    </w:p>
    <w:p w14:paraId="728C404D" w14:textId="1B45529A" w:rsidR="00612178" w:rsidRDefault="00612178" w:rsidP="00141C50">
      <w:pPr>
        <w:rPr>
          <w:rFonts w:eastAsiaTheme="minorEastAsia"/>
          <w:b/>
          <w:bCs/>
        </w:rPr>
      </w:pPr>
      <w:r w:rsidRPr="00612178">
        <w:rPr>
          <w:rFonts w:eastAsiaTheme="minorEastAsia"/>
          <w:b/>
          <w:bCs/>
        </w:rPr>
        <w:t>[12:00-</w:t>
      </w:r>
      <w:r w:rsidR="00D27790">
        <w:rPr>
          <w:rFonts w:eastAsiaTheme="minorEastAsia"/>
          <w:b/>
          <w:bCs/>
        </w:rPr>
        <w:t>12:30</w:t>
      </w:r>
      <w:r w:rsidRPr="00612178">
        <w:rPr>
          <w:rFonts w:eastAsiaTheme="minorEastAsia"/>
          <w:b/>
          <w:bCs/>
        </w:rPr>
        <w:t xml:space="preserve">] Tune-up </w:t>
      </w:r>
      <w:r w:rsidR="00D27790">
        <w:rPr>
          <w:rFonts w:eastAsiaTheme="minorEastAsia"/>
          <w:b/>
          <w:bCs/>
        </w:rPr>
        <w:t>and mini project</w:t>
      </w:r>
    </w:p>
    <w:p w14:paraId="310ED7E8" w14:textId="481B1FFC" w:rsidR="009F0C7A" w:rsidRDefault="009F0C7A" w:rsidP="00141C50">
      <w:pPr>
        <w:rPr>
          <w:rFonts w:eastAsiaTheme="minorEastAsia"/>
        </w:rPr>
      </w:pPr>
      <w:r>
        <w:rPr>
          <w:rFonts w:eastAsiaTheme="minorEastAsia"/>
        </w:rPr>
        <w:t>The average value of an audio signal is the DC frequency component (0 Hertz). Since we cannot hear below 20 Hertz, the average value can be removed.</w:t>
      </w:r>
      <w:r w:rsidR="00A51EBE">
        <w:rPr>
          <w:rFonts w:eastAsiaTheme="minorEastAsia"/>
        </w:rPr>
        <w:t xml:space="preserve"> </w:t>
      </w:r>
      <w:r>
        <w:rPr>
          <w:rFonts w:eastAsiaTheme="minorEastAsia"/>
        </w:rPr>
        <w:t xml:space="preserve">One way to estimate the </w:t>
      </w:r>
      <w:proofErr w:type="gramStart"/>
      <w:r>
        <w:rPr>
          <w:rFonts w:eastAsiaTheme="minorEastAsia"/>
        </w:rPr>
        <w:t>principle</w:t>
      </w:r>
      <w:proofErr w:type="gramEnd"/>
      <w:r>
        <w:rPr>
          <w:rFonts w:eastAsiaTheme="minorEastAsia"/>
        </w:rPr>
        <w:t xml:space="preserve"> frequency of an audio signal is by eyeballing the plot.</w:t>
      </w:r>
      <w:r w:rsidR="00A51EBE">
        <w:rPr>
          <w:rFonts w:eastAsiaTheme="minorEastAsia"/>
        </w:rPr>
        <w:t xml:space="preserve"> Example: 13 periods over 50ms = 260 Hz.</w:t>
      </w:r>
    </w:p>
    <w:p w14:paraId="0171A8CC" w14:textId="7166B980" w:rsidR="009F0C7A" w:rsidRDefault="00A51EBE" w:rsidP="00A51EBE">
      <w:pPr>
        <w:jc w:val="center"/>
        <w:rPr>
          <w:rFonts w:eastAsiaTheme="minorEastAsia"/>
        </w:rPr>
      </w:pPr>
      <w:r>
        <w:rPr>
          <w:noProof/>
        </w:rPr>
        <w:drawing>
          <wp:inline distT="0" distB="0" distL="0" distR="0" wp14:anchorId="0CE768BA" wp14:editId="37F47F5D">
            <wp:extent cx="3554083" cy="2050053"/>
            <wp:effectExtent l="0" t="0" r="8890" b="7620"/>
            <wp:docPr id="1382471801"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71801" name="Picture 1" descr="A graph of a graph&#10;&#10;AI-generated content may be incorrect."/>
                    <pic:cNvPicPr/>
                  </pic:nvPicPr>
                  <pic:blipFill>
                    <a:blip r:embed="rId13"/>
                    <a:stretch>
                      <a:fillRect/>
                    </a:stretch>
                  </pic:blipFill>
                  <pic:spPr>
                    <a:xfrm>
                      <a:off x="0" y="0"/>
                      <a:ext cx="3566880" cy="2057435"/>
                    </a:xfrm>
                    <a:prstGeom prst="rect">
                      <a:avLst/>
                    </a:prstGeom>
                  </pic:spPr>
                </pic:pic>
              </a:graphicData>
            </a:graphic>
          </wp:inline>
        </w:drawing>
      </w:r>
    </w:p>
    <w:p w14:paraId="4B145B97" w14:textId="705CC0FA" w:rsidR="00D27790" w:rsidRDefault="00D27790" w:rsidP="00D27790">
      <w:pPr>
        <w:rPr>
          <w:rFonts w:eastAsiaTheme="minorEastAsia"/>
        </w:rPr>
      </w:pPr>
      <w:r>
        <w:rPr>
          <w:rFonts w:eastAsiaTheme="minorEastAsia"/>
        </w:rPr>
        <w:lastRenderedPageBreak/>
        <w:t>For the mini project, you should map the complex values of the STFT to a color.</w:t>
      </w:r>
    </w:p>
    <w:p w14:paraId="6932FA72" w14:textId="722A11E8" w:rsidR="00D27790" w:rsidRDefault="00D27790" w:rsidP="00D27790">
      <w:pPr>
        <w:rPr>
          <w:rFonts w:eastAsiaTheme="minorEastAsia"/>
        </w:rPr>
      </w:pPr>
      <w:r w:rsidRPr="00D27790">
        <w:rPr>
          <w:rFonts w:eastAsiaTheme="minorEastAsia"/>
          <w:b/>
          <w:bCs/>
        </w:rPr>
        <w:t>Example</w:t>
      </w:r>
      <w:r>
        <w:rPr>
          <w:rFonts w:eastAsiaTheme="minorEastAsia"/>
          <w:b/>
          <w:bCs/>
        </w:rPr>
        <w:t xml:space="preserve"> 1</w:t>
      </w:r>
      <w:r w:rsidRPr="00D27790">
        <w:rPr>
          <w:rFonts w:eastAsiaTheme="minorEastAsia"/>
          <w:b/>
          <w:bCs/>
        </w:rPr>
        <w:t>:</w:t>
      </w:r>
      <w:r>
        <w:rPr>
          <w:rFonts w:eastAsiaTheme="minorEastAsia"/>
        </w:rPr>
        <w:t xml:space="preserve"> Magnitude</w:t>
      </w:r>
      <m:oMath>
        <m:r>
          <w:rPr>
            <w:rFonts w:ascii="Cambria Math" w:eastAsiaTheme="minorEastAsia" w:hAnsi="Cambria Math"/>
          </w:rPr>
          <m:t>→</m:t>
        </m:r>
      </m:oMath>
      <w:r>
        <w:rPr>
          <w:rFonts w:eastAsiaTheme="minorEastAsia"/>
        </w:rPr>
        <w:t>Value and phase</w:t>
      </w:r>
      <m:oMath>
        <m:r>
          <w:rPr>
            <w:rFonts w:ascii="Cambria Math" w:eastAsiaTheme="minorEastAsia" w:hAnsi="Cambria Math"/>
          </w:rPr>
          <m:t>→</m:t>
        </m:r>
      </m:oMath>
      <w:r>
        <w:rPr>
          <w:rFonts w:eastAsiaTheme="minorEastAsia"/>
        </w:rPr>
        <w:t xml:space="preserve">color using HSV color representation. See the </w:t>
      </w:r>
      <w:hyperlink r:id="rId14" w:history="1">
        <w:r w:rsidRPr="00D27790">
          <w:rPr>
            <w:rStyle w:val="Hyperlink"/>
            <w:rFonts w:eastAsiaTheme="minorEastAsia"/>
          </w:rPr>
          <w:t>hints</w:t>
        </w:r>
      </w:hyperlink>
      <w:r>
        <w:rPr>
          <w:rFonts w:eastAsiaTheme="minorEastAsia"/>
        </w:rPr>
        <w:t xml:space="preserve"> for more information on how to convert between RGB and HSV </w:t>
      </w:r>
      <w:proofErr w:type="spellStart"/>
      <w:r>
        <w:rPr>
          <w:rFonts w:eastAsiaTheme="minorEastAsia"/>
        </w:rPr>
        <w:t>colorspace</w:t>
      </w:r>
      <w:proofErr w:type="spellEnd"/>
      <w:r>
        <w:rPr>
          <w:rFonts w:eastAsiaTheme="minorEastAsia"/>
        </w:rPr>
        <w:t xml:space="preserve"> in MATLAB. On the cello clip, the PSNR of the recovered audio is 34 decibels using this representation.</w:t>
      </w:r>
    </w:p>
    <w:p w14:paraId="68841D9C" w14:textId="48FC47BB" w:rsidR="00D27790" w:rsidRPr="00D27790" w:rsidRDefault="00D27790" w:rsidP="00D27790">
      <w:pPr>
        <w:rPr>
          <w:rFonts w:eastAsiaTheme="minorEastAsia"/>
        </w:rPr>
      </w:pPr>
      <w:r w:rsidRPr="00D27790">
        <w:rPr>
          <w:rFonts w:eastAsiaTheme="minorEastAsia"/>
        </w:rPr>
        <w:drawing>
          <wp:inline distT="0" distB="0" distL="0" distR="0" wp14:anchorId="5D4CDB40" wp14:editId="5BEC2233">
            <wp:extent cx="5943600" cy="2662555"/>
            <wp:effectExtent l="0" t="0" r="0" b="4445"/>
            <wp:docPr id="1714150590" name="Picture 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50590" name="Picture 2" descr="A screenshot of a computer screen&#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662555"/>
                    </a:xfrm>
                    <a:prstGeom prst="rect">
                      <a:avLst/>
                    </a:prstGeom>
                    <a:noFill/>
                    <a:ln>
                      <a:noFill/>
                    </a:ln>
                  </pic:spPr>
                </pic:pic>
              </a:graphicData>
            </a:graphic>
          </wp:inline>
        </w:drawing>
      </w:r>
    </w:p>
    <w:p w14:paraId="24AC5D10" w14:textId="47E6B8F1" w:rsidR="00D27790" w:rsidRDefault="00D27790" w:rsidP="00D27790">
      <w:pPr>
        <w:rPr>
          <w:rFonts w:eastAsiaTheme="minorEastAsia"/>
        </w:rPr>
      </w:pPr>
      <w:r w:rsidRPr="00D27790">
        <w:rPr>
          <w:rFonts w:eastAsiaTheme="minorEastAsia"/>
          <w:b/>
          <w:bCs/>
        </w:rPr>
        <w:t>Example 2:</w:t>
      </w:r>
      <w:r>
        <w:rPr>
          <w:rFonts w:eastAsiaTheme="minorEastAsia"/>
        </w:rPr>
        <w:t xml:space="preserve"> Real part</w:t>
      </w:r>
      <m:oMath>
        <m:r>
          <w:rPr>
            <w:rFonts w:ascii="Cambria Math" w:eastAsiaTheme="minorEastAsia" w:hAnsi="Cambria Math"/>
          </w:rPr>
          <m:t>→</m:t>
        </m:r>
      </m:oMath>
      <w:r>
        <w:rPr>
          <w:rFonts w:eastAsiaTheme="minorEastAsia"/>
        </w:rPr>
        <w:t>top half of image, Imaginary part</w:t>
      </w:r>
      <m:oMath>
        <m:r>
          <w:rPr>
            <w:rFonts w:ascii="Cambria Math" w:eastAsiaTheme="minorEastAsia" w:hAnsi="Cambria Math"/>
          </w:rPr>
          <m:t>→</m:t>
        </m:r>
      </m:oMath>
      <w:r>
        <w:rPr>
          <w:rFonts w:eastAsiaTheme="minorEastAsia"/>
        </w:rPr>
        <w:t>bottom half of image. Since the Fourier series coefficients of a real-valued signal are conjugate symmetric, we can use half of the image to represent the real component and half of the image to represent the imaginary component. In this example, large magnitude positive values are mapped to red, large magnitude negative values are mapped to blue, and values near zero are mapped to white. On the cello clip, this gives 30 dB PSNR for the reconstruction.</w:t>
      </w:r>
    </w:p>
    <w:p w14:paraId="783A5B37" w14:textId="4F77F468" w:rsidR="00D27790" w:rsidRPr="009F0C7A" w:rsidRDefault="00D27790" w:rsidP="00D27790">
      <w:pPr>
        <w:rPr>
          <w:rFonts w:eastAsiaTheme="minorEastAsia"/>
        </w:rPr>
      </w:pPr>
      <w:r w:rsidRPr="00D27790">
        <w:rPr>
          <w:rFonts w:eastAsiaTheme="minorEastAsia"/>
        </w:rPr>
        <w:drawing>
          <wp:inline distT="0" distB="0" distL="0" distR="0" wp14:anchorId="481EDFCA" wp14:editId="569EE869">
            <wp:extent cx="5943600" cy="2662555"/>
            <wp:effectExtent l="0" t="0" r="0" b="4445"/>
            <wp:docPr id="1792179015" name="Picture 4" descr="A white background with a pink and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79015" name="Picture 4" descr="A white background with a pink and blue lin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662555"/>
                    </a:xfrm>
                    <a:prstGeom prst="rect">
                      <a:avLst/>
                    </a:prstGeom>
                    <a:noFill/>
                    <a:ln>
                      <a:noFill/>
                    </a:ln>
                  </pic:spPr>
                </pic:pic>
              </a:graphicData>
            </a:graphic>
          </wp:inline>
        </w:drawing>
      </w:r>
    </w:p>
    <w:sectPr w:rsidR="00D27790" w:rsidRPr="009F0C7A">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2B92F" w14:textId="77777777" w:rsidR="00424FE0" w:rsidRDefault="00424FE0" w:rsidP="00FB490A">
      <w:r>
        <w:separator/>
      </w:r>
    </w:p>
  </w:endnote>
  <w:endnote w:type="continuationSeparator" w:id="0">
    <w:p w14:paraId="2FA955F1" w14:textId="77777777" w:rsidR="00424FE0" w:rsidRDefault="00424FE0" w:rsidP="00FB4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D8522" w14:textId="77777777" w:rsidR="00424FE0" w:rsidRDefault="00424FE0" w:rsidP="00FB490A">
      <w:r>
        <w:separator/>
      </w:r>
    </w:p>
  </w:footnote>
  <w:footnote w:type="continuationSeparator" w:id="0">
    <w:p w14:paraId="77BB9F74" w14:textId="77777777" w:rsidR="00424FE0" w:rsidRDefault="00424FE0" w:rsidP="00FB49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38C8C" w14:textId="2E695F21" w:rsidR="00FB490A" w:rsidRDefault="00FB490A" w:rsidP="00FB490A">
    <w:pPr>
      <w:pStyle w:val="Header"/>
      <w:pBdr>
        <w:bottom w:val="single" w:sz="6" w:space="1" w:color="auto"/>
      </w:pBdr>
    </w:pPr>
    <w:r w:rsidRPr="00FB490A">
      <w:t xml:space="preserve">Prof. Brian Evans. ECE 313. Fall 2025. </w:t>
    </w:r>
    <w:r w:rsidRPr="00FB490A">
      <w:ptab w:relativeTo="margin" w:alignment="center" w:leader="none"/>
    </w:r>
    <w:r w:rsidRPr="00FB490A">
      <w:t>9/</w:t>
    </w:r>
    <w:r w:rsidR="00BC2E8E">
      <w:t>1</w:t>
    </w:r>
    <w:r w:rsidR="0078333F">
      <w:t>6</w:t>
    </w:r>
    <w:r w:rsidRPr="00FB490A">
      <w:t xml:space="preserve">/2025 </w:t>
    </w:r>
    <w:r w:rsidRPr="00FB490A">
      <w:ptab w:relativeTo="margin" w:alignment="right" w:leader="none"/>
    </w:r>
    <w:r w:rsidRPr="00FB490A">
      <w:t>Lecture notes by Dan Jacobellis (TA)</w:t>
    </w:r>
  </w:p>
  <w:p w14:paraId="59652085" w14:textId="77777777" w:rsidR="00FB490A" w:rsidRPr="00FB490A" w:rsidRDefault="00FB490A" w:rsidP="00FB49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AE1CC1"/>
    <w:multiLevelType w:val="hybridMultilevel"/>
    <w:tmpl w:val="B552A6BE"/>
    <w:lvl w:ilvl="0" w:tplc="F028BA6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506267"/>
    <w:multiLevelType w:val="hybridMultilevel"/>
    <w:tmpl w:val="099CEBA4"/>
    <w:lvl w:ilvl="0" w:tplc="B316E9DA">
      <w:start w:val="34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6E05FE"/>
    <w:multiLevelType w:val="hybridMultilevel"/>
    <w:tmpl w:val="A852C9A8"/>
    <w:lvl w:ilvl="0" w:tplc="A3B84CB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0410672">
    <w:abstractNumId w:val="2"/>
  </w:num>
  <w:num w:numId="2" w16cid:durableId="445848970">
    <w:abstractNumId w:val="0"/>
  </w:num>
  <w:num w:numId="3" w16cid:durableId="11051569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90A"/>
    <w:rsid w:val="00036553"/>
    <w:rsid w:val="00065B56"/>
    <w:rsid w:val="00094B0D"/>
    <w:rsid w:val="000C0273"/>
    <w:rsid w:val="00141C50"/>
    <w:rsid w:val="00193249"/>
    <w:rsid w:val="001C31BB"/>
    <w:rsid w:val="00201092"/>
    <w:rsid w:val="002576DD"/>
    <w:rsid w:val="002765D5"/>
    <w:rsid w:val="002C2DD4"/>
    <w:rsid w:val="002F70B5"/>
    <w:rsid w:val="0031099C"/>
    <w:rsid w:val="00316341"/>
    <w:rsid w:val="003566D1"/>
    <w:rsid w:val="00424FE0"/>
    <w:rsid w:val="004300AF"/>
    <w:rsid w:val="004551B5"/>
    <w:rsid w:val="004B080D"/>
    <w:rsid w:val="0053386F"/>
    <w:rsid w:val="00590324"/>
    <w:rsid w:val="005F4B07"/>
    <w:rsid w:val="00612178"/>
    <w:rsid w:val="006B2FFC"/>
    <w:rsid w:val="006B4815"/>
    <w:rsid w:val="006E3B26"/>
    <w:rsid w:val="006E58C8"/>
    <w:rsid w:val="0078333F"/>
    <w:rsid w:val="007B3A7F"/>
    <w:rsid w:val="0081256C"/>
    <w:rsid w:val="00887212"/>
    <w:rsid w:val="00890E90"/>
    <w:rsid w:val="008C4A5E"/>
    <w:rsid w:val="008D3116"/>
    <w:rsid w:val="00920949"/>
    <w:rsid w:val="009F0C7A"/>
    <w:rsid w:val="00A51EBE"/>
    <w:rsid w:val="00A567B3"/>
    <w:rsid w:val="00A657F3"/>
    <w:rsid w:val="00B94014"/>
    <w:rsid w:val="00BC2E8E"/>
    <w:rsid w:val="00C25661"/>
    <w:rsid w:val="00C65F08"/>
    <w:rsid w:val="00C817B9"/>
    <w:rsid w:val="00C83D23"/>
    <w:rsid w:val="00C96FA6"/>
    <w:rsid w:val="00CB17FB"/>
    <w:rsid w:val="00CD7E21"/>
    <w:rsid w:val="00CE0131"/>
    <w:rsid w:val="00CF0E95"/>
    <w:rsid w:val="00D13E21"/>
    <w:rsid w:val="00D27790"/>
    <w:rsid w:val="00D61EDA"/>
    <w:rsid w:val="00DC65A5"/>
    <w:rsid w:val="00EA6AD1"/>
    <w:rsid w:val="00EB4F03"/>
    <w:rsid w:val="00EB7A62"/>
    <w:rsid w:val="00EE57C2"/>
    <w:rsid w:val="00F117E8"/>
    <w:rsid w:val="00FB490A"/>
    <w:rsid w:val="00FC0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366ED"/>
  <w15:chartTrackingRefBased/>
  <w15:docId w15:val="{1781214D-72E5-468F-A5B4-04A046C7D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90A"/>
    <w:rPr>
      <w:rFonts w:ascii="Book Antiqua" w:hAnsi="Book Antiqua"/>
    </w:rPr>
  </w:style>
  <w:style w:type="paragraph" w:styleId="Heading1">
    <w:name w:val="heading 1"/>
    <w:basedOn w:val="Normal"/>
    <w:next w:val="Normal"/>
    <w:link w:val="Heading1Char"/>
    <w:uiPriority w:val="9"/>
    <w:qFormat/>
    <w:rsid w:val="00FB490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B490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B490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B490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B490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B49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49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49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49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490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B490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B490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B490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B490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B49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49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49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490A"/>
    <w:rPr>
      <w:rFonts w:eastAsiaTheme="majorEastAsia" w:cstheme="majorBidi"/>
      <w:color w:val="272727" w:themeColor="text1" w:themeTint="D8"/>
    </w:rPr>
  </w:style>
  <w:style w:type="paragraph" w:styleId="Title">
    <w:name w:val="Title"/>
    <w:basedOn w:val="Normal"/>
    <w:next w:val="Normal"/>
    <w:link w:val="TitleChar"/>
    <w:uiPriority w:val="10"/>
    <w:qFormat/>
    <w:rsid w:val="00FB49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49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49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49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490A"/>
    <w:pPr>
      <w:spacing w:before="160"/>
      <w:jc w:val="center"/>
    </w:pPr>
    <w:rPr>
      <w:i/>
      <w:iCs/>
      <w:color w:val="404040" w:themeColor="text1" w:themeTint="BF"/>
    </w:rPr>
  </w:style>
  <w:style w:type="character" w:customStyle="1" w:styleId="QuoteChar">
    <w:name w:val="Quote Char"/>
    <w:basedOn w:val="DefaultParagraphFont"/>
    <w:link w:val="Quote"/>
    <w:uiPriority w:val="29"/>
    <w:rsid w:val="00FB490A"/>
    <w:rPr>
      <w:i/>
      <w:iCs/>
      <w:color w:val="404040" w:themeColor="text1" w:themeTint="BF"/>
    </w:rPr>
  </w:style>
  <w:style w:type="paragraph" w:styleId="ListParagraph">
    <w:name w:val="List Paragraph"/>
    <w:basedOn w:val="Normal"/>
    <w:uiPriority w:val="34"/>
    <w:qFormat/>
    <w:rsid w:val="00FB490A"/>
    <w:pPr>
      <w:ind w:left="720"/>
      <w:contextualSpacing/>
    </w:pPr>
  </w:style>
  <w:style w:type="character" w:styleId="IntenseEmphasis">
    <w:name w:val="Intense Emphasis"/>
    <w:basedOn w:val="DefaultParagraphFont"/>
    <w:uiPriority w:val="21"/>
    <w:qFormat/>
    <w:rsid w:val="00FB490A"/>
    <w:rPr>
      <w:i/>
      <w:iCs/>
      <w:color w:val="2F5496" w:themeColor="accent1" w:themeShade="BF"/>
    </w:rPr>
  </w:style>
  <w:style w:type="paragraph" w:styleId="IntenseQuote">
    <w:name w:val="Intense Quote"/>
    <w:basedOn w:val="Normal"/>
    <w:next w:val="Normal"/>
    <w:link w:val="IntenseQuoteChar"/>
    <w:uiPriority w:val="30"/>
    <w:qFormat/>
    <w:rsid w:val="00FB490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B490A"/>
    <w:rPr>
      <w:i/>
      <w:iCs/>
      <w:color w:val="2F5496" w:themeColor="accent1" w:themeShade="BF"/>
    </w:rPr>
  </w:style>
  <w:style w:type="character" w:styleId="IntenseReference">
    <w:name w:val="Intense Reference"/>
    <w:basedOn w:val="DefaultParagraphFont"/>
    <w:uiPriority w:val="32"/>
    <w:qFormat/>
    <w:rsid w:val="00FB490A"/>
    <w:rPr>
      <w:b/>
      <w:bCs/>
      <w:smallCaps/>
      <w:color w:val="2F5496" w:themeColor="accent1" w:themeShade="BF"/>
      <w:spacing w:val="5"/>
    </w:rPr>
  </w:style>
  <w:style w:type="paragraph" w:styleId="Header">
    <w:name w:val="header"/>
    <w:basedOn w:val="Normal"/>
    <w:link w:val="HeaderChar"/>
    <w:uiPriority w:val="99"/>
    <w:unhideWhenUsed/>
    <w:rsid w:val="00FB49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490A"/>
  </w:style>
  <w:style w:type="paragraph" w:styleId="Footer">
    <w:name w:val="footer"/>
    <w:basedOn w:val="Normal"/>
    <w:link w:val="FooterChar"/>
    <w:uiPriority w:val="99"/>
    <w:unhideWhenUsed/>
    <w:rsid w:val="00FB49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490A"/>
  </w:style>
  <w:style w:type="character" w:styleId="PlaceholderText">
    <w:name w:val="Placeholder Text"/>
    <w:basedOn w:val="DefaultParagraphFont"/>
    <w:uiPriority w:val="99"/>
    <w:semiHidden/>
    <w:rsid w:val="00FB490A"/>
    <w:rPr>
      <w:color w:val="666666"/>
    </w:rPr>
  </w:style>
  <w:style w:type="character" w:styleId="Hyperlink">
    <w:name w:val="Hyperlink"/>
    <w:basedOn w:val="DefaultParagraphFont"/>
    <w:uiPriority w:val="99"/>
    <w:unhideWhenUsed/>
    <w:rsid w:val="00201092"/>
    <w:rPr>
      <w:color w:val="0563C1" w:themeColor="hyperlink"/>
      <w:u w:val="single"/>
    </w:rPr>
  </w:style>
  <w:style w:type="character" w:styleId="UnresolvedMention">
    <w:name w:val="Unresolved Mention"/>
    <w:basedOn w:val="DefaultParagraphFont"/>
    <w:uiPriority w:val="99"/>
    <w:semiHidden/>
    <w:unhideWhenUsed/>
    <w:rsid w:val="00201092"/>
    <w:rPr>
      <w:color w:val="605E5C"/>
      <w:shd w:val="clear" w:color="auto" w:fill="E1DFDD"/>
    </w:rPr>
  </w:style>
  <w:style w:type="table" w:styleId="TableGrid">
    <w:name w:val="Table Grid"/>
    <w:basedOn w:val="TableNormal"/>
    <w:uiPriority w:val="39"/>
    <w:rsid w:val="00257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D31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users.ece.utexas.edu/~bevans/courses/signals/homework/fall2025/miniproj1hints/mini_project_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3F6B8F3B53BC4EB9A71E066AD6C488" ma:contentTypeVersion="6" ma:contentTypeDescription="Create a new document." ma:contentTypeScope="" ma:versionID="ec896a33752feb1b10e72528bbf8d7ba">
  <xsd:schema xmlns:xsd="http://www.w3.org/2001/XMLSchema" xmlns:xs="http://www.w3.org/2001/XMLSchema" xmlns:p="http://schemas.microsoft.com/office/2006/metadata/properties" xmlns:ns3="f3c2eb82-97ce-43a4-bc26-564a4540fcba" targetNamespace="http://schemas.microsoft.com/office/2006/metadata/properties" ma:root="true" ma:fieldsID="543d78220b8a1306520f2ec50e753ae1" ns3:_="">
    <xsd:import namespace="f3c2eb82-97ce-43a4-bc26-564a4540fcb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c2eb82-97ce-43a4-bc26-564a4540f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AC98DA-766A-42DC-A4E6-4941785B2E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c2eb82-97ce-43a4-bc26-564a4540fc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5EE15A-5566-4F82-BB06-C827C2DC7BBD}">
  <ds:schemaRefs>
    <ds:schemaRef ds:uri="http://schemas.microsoft.com/sharepoint/v3/contenttype/forms"/>
  </ds:schemaRefs>
</ds:datastoreItem>
</file>

<file path=customXml/itemProps3.xml><?xml version="1.0" encoding="utf-8"?>
<ds:datastoreItem xmlns:ds="http://schemas.openxmlformats.org/officeDocument/2006/customXml" ds:itemID="{5DD0BECB-1E9E-4B03-BF29-DAEBFBAEBB2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3</Pages>
  <Words>528</Words>
  <Characters>3016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Jacobellis, Dan</dc:creator>
  <cp:keywords/>
  <dc:description/>
  <cp:lastModifiedBy>Jacobellis, Dan</cp:lastModifiedBy>
  <cp:revision>4</cp:revision>
  <dcterms:created xsi:type="dcterms:W3CDTF">2025-09-16T15:51:00Z</dcterms:created>
  <dcterms:modified xsi:type="dcterms:W3CDTF">2025-09-17T19:06:00Z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0x010100BE3F6B8F3B53BC4EB9A71E066AD6C488</vt:lpwstr>
  </property>
</Properties>
</file>